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94" w:rsidRDefault="00C42B26" w:rsidP="00C42B2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43500" cy="5165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538" cy="517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26" w:rsidRDefault="00C42B26" w:rsidP="00C42B26">
      <w:pPr>
        <w:jc w:val="center"/>
      </w:pPr>
    </w:p>
    <w:p w:rsidR="00C42B26" w:rsidRDefault="00C42B26" w:rsidP="00C42B26">
      <w:pPr>
        <w:jc w:val="center"/>
        <w:rPr>
          <w:sz w:val="96"/>
          <w:szCs w:val="96"/>
        </w:rPr>
      </w:pPr>
      <w:r w:rsidRPr="00C42B26">
        <w:rPr>
          <w:sz w:val="96"/>
          <w:szCs w:val="96"/>
        </w:rPr>
        <w:t>Exclusion Policy</w:t>
      </w:r>
    </w:p>
    <w:p w:rsidR="00C42B26" w:rsidRDefault="00C42B26" w:rsidP="00C42B26">
      <w:pPr>
        <w:jc w:val="center"/>
        <w:rPr>
          <w:sz w:val="96"/>
          <w:szCs w:val="96"/>
        </w:rPr>
      </w:pPr>
    </w:p>
    <w:p w:rsidR="00C42B26" w:rsidRDefault="00C42B26" w:rsidP="00C42B26">
      <w:pPr>
        <w:jc w:val="center"/>
        <w:rPr>
          <w:sz w:val="96"/>
          <w:szCs w:val="96"/>
        </w:rPr>
      </w:pPr>
    </w:p>
    <w:p w:rsidR="00C42B26" w:rsidRDefault="00C42B26" w:rsidP="00C42B26">
      <w:pPr>
        <w:jc w:val="center"/>
        <w:rPr>
          <w:sz w:val="24"/>
          <w:szCs w:val="24"/>
        </w:rPr>
      </w:pPr>
    </w:p>
    <w:p w:rsidR="00C42B26" w:rsidRDefault="00C42B26" w:rsidP="00C42B26">
      <w:pPr>
        <w:jc w:val="center"/>
        <w:rPr>
          <w:sz w:val="24"/>
          <w:szCs w:val="24"/>
        </w:rPr>
      </w:pPr>
    </w:p>
    <w:p w:rsidR="00C42B26" w:rsidRDefault="00C42B26" w:rsidP="00C42B26">
      <w:pPr>
        <w:jc w:val="center"/>
        <w:rPr>
          <w:sz w:val="24"/>
          <w:szCs w:val="24"/>
        </w:rPr>
      </w:pPr>
    </w:p>
    <w:p w:rsidR="00C42B26" w:rsidRDefault="00C42B26" w:rsidP="00C42B26">
      <w:pPr>
        <w:jc w:val="center"/>
        <w:rPr>
          <w:sz w:val="24"/>
          <w:szCs w:val="24"/>
        </w:rPr>
      </w:pPr>
    </w:p>
    <w:p w:rsidR="00C42B26" w:rsidRDefault="00C42B26" w:rsidP="00C42B26">
      <w:pPr>
        <w:jc w:val="center"/>
        <w:rPr>
          <w:sz w:val="24"/>
          <w:szCs w:val="24"/>
        </w:rPr>
      </w:pPr>
    </w:p>
    <w:p w:rsidR="00C42B26" w:rsidRPr="00C42B26" w:rsidRDefault="00C42B26" w:rsidP="00C42B26">
      <w:pPr>
        <w:spacing w:before="240" w:after="0" w:line="240" w:lineRule="auto"/>
        <w:rPr>
          <w:b/>
          <w:sz w:val="24"/>
          <w:szCs w:val="24"/>
          <w:u w:val="single"/>
        </w:rPr>
      </w:pPr>
      <w:r w:rsidRPr="00C42B26">
        <w:rPr>
          <w:b/>
          <w:sz w:val="24"/>
          <w:szCs w:val="24"/>
          <w:u w:val="single"/>
        </w:rPr>
        <w:lastRenderedPageBreak/>
        <w:t>Introduction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Pinders</w:t>
      </w:r>
      <w:proofErr w:type="spellEnd"/>
      <w:r>
        <w:rPr>
          <w:sz w:val="24"/>
          <w:szCs w:val="24"/>
        </w:rPr>
        <w:t xml:space="preserve"> Primary School </w:t>
      </w:r>
      <w:r w:rsidRPr="00C42B26">
        <w:rPr>
          <w:sz w:val="24"/>
          <w:szCs w:val="24"/>
        </w:rPr>
        <w:t>are committed to valuing diversity and to equality of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opportunity. We aim to create and promote an environment in which pupils, parents/carers and staff are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treated fairly and with respect, and feel able to contribute to the best of their abilities.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Pinders</w:t>
      </w:r>
      <w:proofErr w:type="spellEnd"/>
      <w:r>
        <w:rPr>
          <w:sz w:val="24"/>
          <w:szCs w:val="24"/>
        </w:rPr>
        <w:t xml:space="preserve"> Primary Scho</w:t>
      </w:r>
      <w:r w:rsidR="0028780C">
        <w:rPr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 w:rsidRPr="00C42B26">
        <w:rPr>
          <w:sz w:val="24"/>
          <w:szCs w:val="24"/>
        </w:rPr>
        <w:t>and local governing bodies recognise that it is unlawful to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take into account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anyone’s gender, marital status, colour, race, nationality, ethnic or national origin,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disability, religious beliefs, age, or sexual orientation.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We aim to include, not exclude, and we approach all challenging behaviour in a supportive and positive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 xml:space="preserve">way. 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We recognise that such behaviour can sometimes be symptomatic of a real, deeper need for our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support and understanding. All children can go through times of inappropriate behaviour, and we strive to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never “give up” easily on a child as we recognise that each person has a unique contribution to make to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school life and we want to support them to achieve this.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A decision to exclude a pupil, either for a fixed period or permanently is seen as a last resort. The physical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and emotional health of our children and staff is our primary concern, and we therefore accept that in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some rare situations, exclusion may be necessary, if all other strategies have been exhausted.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C42B26" w:rsidRPr="00C42B26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C42B26">
        <w:rPr>
          <w:b/>
          <w:sz w:val="24"/>
          <w:szCs w:val="24"/>
          <w:u w:val="single"/>
        </w:rPr>
        <w:t>Related Policies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Pinders</w:t>
      </w:r>
      <w:proofErr w:type="spellEnd"/>
      <w:r>
        <w:rPr>
          <w:sz w:val="24"/>
          <w:szCs w:val="24"/>
        </w:rPr>
        <w:t xml:space="preserve"> Primary School</w:t>
      </w:r>
      <w:r w:rsidRPr="00C42B26">
        <w:rPr>
          <w:sz w:val="24"/>
          <w:szCs w:val="24"/>
        </w:rPr>
        <w:t xml:space="preserve"> are responsible for communicating to pupils,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parents/carers and staff its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expectations of standards of conduct. A range of policies and procedures are in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place to promote good behaviour and appropriate conduct.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These are: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Behaviour Policy;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Anti-Bullying Policy;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Physical Intervention Policy.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No exclusion will be initiated without first exhausting other strategies or, in the case of a serious single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incident, a thorough investigation.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B86726" w:rsidRPr="00B86726" w:rsidRDefault="00B867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B86726">
        <w:rPr>
          <w:b/>
          <w:sz w:val="24"/>
          <w:szCs w:val="24"/>
          <w:u w:val="single"/>
        </w:rPr>
        <w:t>What is an exclusion?</w:t>
      </w:r>
    </w:p>
    <w:p w:rsidR="00B86726" w:rsidRPr="00B86726" w:rsidRDefault="00B86726" w:rsidP="00C42B26">
      <w:pPr>
        <w:spacing w:after="0" w:line="240" w:lineRule="auto"/>
        <w:rPr>
          <w:sz w:val="24"/>
          <w:szCs w:val="24"/>
        </w:rPr>
      </w:pPr>
      <w:r w:rsidRPr="00B86726">
        <w:rPr>
          <w:sz w:val="24"/>
          <w:szCs w:val="24"/>
        </w:rPr>
        <w:t xml:space="preserve"> An exclusion is a disciplinary measure that the Head Teacher can use to deal with unacceptable behaviour. There are three types of exclusion</w:t>
      </w:r>
    </w:p>
    <w:p w:rsidR="00B86726" w:rsidRPr="00C42B26" w:rsidRDefault="00B86726" w:rsidP="00C42B26">
      <w:pPr>
        <w:spacing w:after="0" w:line="240" w:lineRule="auto"/>
        <w:rPr>
          <w:sz w:val="24"/>
          <w:szCs w:val="24"/>
        </w:rPr>
      </w:pPr>
    </w:p>
    <w:p w:rsidR="00C42B26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C42B26">
        <w:rPr>
          <w:b/>
          <w:sz w:val="24"/>
          <w:szCs w:val="24"/>
          <w:u w:val="single"/>
        </w:rPr>
        <w:t>Reasons for exclusion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318"/>
        <w:gridCol w:w="6321"/>
      </w:tblGrid>
      <w:tr w:rsidR="003E7E37" w:rsidRPr="00D727C7" w:rsidTr="0082308D">
        <w:trPr>
          <w:trHeight w:val="524"/>
        </w:trPr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976E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CODE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Suspension / </w:t>
            </w:r>
            <w:r w:rsidRPr="00976E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Exclusion reason –</w:t>
            </w:r>
            <w:r w:rsidRPr="00976EA6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976EA6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use up to 3, with equal weighting, but use all codes that cover the incident</w:t>
            </w: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976EA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Possible examples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PP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Physical assault against a pupil</w:t>
            </w:r>
          </w:p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Fighting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obstruction and jostling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violent behaviour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wounding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PA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Physical assault against an adult</w:t>
            </w:r>
          </w:p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obstruction and jostling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violent behaviour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wounding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VP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Verbal abuse/threatening behaviour against a pupil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aggressive behaviour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swearing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threatened violence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verbal intimidation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VA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Verbal abuse/threatening behaviour against an adult</w:t>
            </w:r>
          </w:p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aggressive behaviour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swearing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threatened violence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verbal intimidation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OW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Use or threat of use of an offensive weapon or prohibited item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carrying or bringing onto the school site an offensive weapon / prohibited item such as knives, sharp instruments and BB guns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carrying any article that has been or is likely to be used to commit an offence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cause personal injury or damage to property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of an offensive weapon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BU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Bullying</w:t>
            </w: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verbal, physical, cyber bullying or threatening behaviour online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racist bullying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bullying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homophobic, </w:t>
            </w:r>
            <w:proofErr w:type="spellStart"/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biphobic</w:t>
            </w:r>
            <w:proofErr w:type="spellEnd"/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transphobic bullying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bullying related to disability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lastRenderedPageBreak/>
              <w:t>RA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Racist abuse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derogatory racist statements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racist bullying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racist graffiti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racist taunting and harassment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swearing that can be attributed to racist characteristics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LG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Abuse against sexual orientation and gender identity (for example, LGBT+)</w:t>
            </w: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derogatory statements about sexual orientation (e.g. heterosexual, lesbian, gay, bisexual) and gender identity (e.g. transgender)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homophobic, </w:t>
            </w:r>
            <w:proofErr w:type="spellStart"/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biphobic</w:t>
            </w:r>
            <w:proofErr w:type="spellEnd"/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transphobic bullying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LGBT+ graffiti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LGBT+ taunting and harassment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swearing that can be attributed to LGBT+ characteristics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Abuse relating to disability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derogatory statements or swearing about a disability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bullying related to disability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related graffiti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disability related taunting and harassment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SM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Sexual misconduct</w:t>
            </w: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lewd behaviour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abuse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assault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bullying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graffiti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sexual harassment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DA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Drug and alcohol related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alcohol abuse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drug dealing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inappropriate use of prescribed drugs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possession of illegal drugs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smoking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substance abuse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DM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Damage to property</w:t>
            </w: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damage includes damage to school or personal property belonging to any member of the school community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arson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graffiti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vandalism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TH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Theft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selling and dealing in stolen property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stealing from local shops on a school outing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stealing personal property (from an adult or pupil)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stealing school property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3318" w:type="dxa"/>
            <w:shd w:val="clear" w:color="auto" w:fill="auto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Persistent or general disruptive behaviour</w:t>
            </w:r>
          </w:p>
        </w:tc>
        <w:tc>
          <w:tcPr>
            <w:tcW w:w="6321" w:type="dxa"/>
            <w:shd w:val="clear" w:color="auto" w:fill="auto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challenging behaviour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disobedience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persistent violation of school rules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raising of fire alarms falsely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E7E6E6"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MT</w:t>
            </w:r>
          </w:p>
        </w:tc>
        <w:tc>
          <w:tcPr>
            <w:tcW w:w="3318" w:type="dxa"/>
            <w:shd w:val="clear" w:color="auto" w:fill="E7E6E6"/>
            <w:hideMark/>
          </w:tcPr>
          <w:p w:rsidR="003E7E37" w:rsidRPr="00976EA6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hAnsi="Arial" w:cs="Arial"/>
                <w:sz w:val="16"/>
                <w:szCs w:val="16"/>
                <w:lang w:eastAsia="en-GB"/>
              </w:rPr>
              <w:t>Inappropriate use of social media or online technology</w:t>
            </w:r>
          </w:p>
        </w:tc>
        <w:tc>
          <w:tcPr>
            <w:tcW w:w="6321" w:type="dxa"/>
            <w:shd w:val="clear" w:color="auto" w:fill="E7E6E6"/>
            <w:hideMark/>
          </w:tcPr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sharing of inappropriate images (of adult or pupil)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cyber bullying or threatening behaviour online</w:t>
            </w:r>
          </w:p>
          <w:p w:rsidR="003E7E37" w:rsidRPr="00976EA6" w:rsidRDefault="003E7E37" w:rsidP="003E7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223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6EA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organising or facilitating criminal behaviour using social media</w:t>
            </w:r>
          </w:p>
        </w:tc>
      </w:tr>
      <w:tr w:rsidR="003E7E37" w:rsidRPr="00D727C7" w:rsidTr="0082308D">
        <w:tc>
          <w:tcPr>
            <w:tcW w:w="794" w:type="dxa"/>
            <w:shd w:val="clear" w:color="auto" w:fill="auto"/>
          </w:tcPr>
          <w:p w:rsidR="003E7E37" w:rsidRPr="001637F7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637F7">
              <w:rPr>
                <w:rFonts w:ascii="Arial" w:hAnsi="Arial" w:cs="Arial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9639" w:type="dxa"/>
            <w:gridSpan w:val="2"/>
            <w:vAlign w:val="center"/>
          </w:tcPr>
          <w:p w:rsidR="003E7E37" w:rsidRPr="001637F7" w:rsidRDefault="003E7E37" w:rsidP="0082308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637F7">
              <w:rPr>
                <w:rFonts w:ascii="Arial" w:hAnsi="Arial" w:cs="Arial"/>
                <w:sz w:val="16"/>
                <w:szCs w:val="16"/>
                <w:lang w:eastAsia="en-GB"/>
              </w:rPr>
              <w:t>Wilful and repeated transgression of protective measures in place to protect public health</w:t>
            </w:r>
          </w:p>
        </w:tc>
      </w:tr>
    </w:tbl>
    <w:p w:rsidR="003E7E37" w:rsidRPr="00C42B26" w:rsidRDefault="003E7E37" w:rsidP="00C42B26">
      <w:pPr>
        <w:spacing w:after="0" w:line="240" w:lineRule="auto"/>
        <w:rPr>
          <w:b/>
          <w:sz w:val="24"/>
          <w:szCs w:val="24"/>
          <w:u w:val="single"/>
        </w:rPr>
      </w:pP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3E7E37" w:rsidRPr="00C42B26" w:rsidRDefault="003E7E37" w:rsidP="00C42B2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Any exclusion will be at the decision of the Headteacher</w:t>
      </w:r>
      <w:r>
        <w:rPr>
          <w:sz w:val="24"/>
          <w:szCs w:val="24"/>
        </w:rPr>
        <w:t>.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C42B26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C42B26">
        <w:rPr>
          <w:b/>
          <w:sz w:val="24"/>
          <w:szCs w:val="24"/>
          <w:u w:val="single"/>
        </w:rPr>
        <w:t>Types of Exclusion</w:t>
      </w:r>
    </w:p>
    <w:p w:rsidR="00C42B26" w:rsidRPr="00C42B26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</w:p>
    <w:p w:rsidR="00C42B26" w:rsidRPr="00C42B26" w:rsidRDefault="00C42B26" w:rsidP="00C42B26">
      <w:pPr>
        <w:spacing w:after="0" w:line="240" w:lineRule="auto"/>
        <w:rPr>
          <w:b/>
          <w:sz w:val="24"/>
          <w:szCs w:val="24"/>
        </w:rPr>
      </w:pPr>
      <w:r w:rsidRPr="00C42B26">
        <w:rPr>
          <w:b/>
          <w:sz w:val="24"/>
          <w:szCs w:val="24"/>
        </w:rPr>
        <w:t>Temporary Fixed-Term Exclusion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A temporary exclusion should be for the shortest time necessary. Ofsted evidence suggests that 1-3 days is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 xml:space="preserve">usually enough to secure benefits without adverse educational consequences. 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C42B26" w:rsidRPr="00C42B26" w:rsidRDefault="00C42B26" w:rsidP="00C42B26">
      <w:pPr>
        <w:spacing w:after="0" w:line="240" w:lineRule="auto"/>
        <w:rPr>
          <w:b/>
          <w:sz w:val="24"/>
          <w:szCs w:val="24"/>
        </w:rPr>
      </w:pPr>
      <w:r w:rsidRPr="00C42B26">
        <w:rPr>
          <w:b/>
          <w:sz w:val="24"/>
          <w:szCs w:val="24"/>
        </w:rPr>
        <w:t>Persistent or cumulative problems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Exclusion for a period of time from half a day to 5 days for persistent or cumulative problems would be</w:t>
      </w:r>
    </w:p>
    <w:p w:rsidR="00C42B26" w:rsidRDefault="00C42B26" w:rsidP="00C42B26">
      <w:pPr>
        <w:spacing w:after="0" w:line="240" w:lineRule="auto"/>
      </w:pPr>
      <w:r w:rsidRPr="00C42B26">
        <w:rPr>
          <w:sz w:val="24"/>
          <w:szCs w:val="24"/>
        </w:rPr>
        <w:t xml:space="preserve">imposed only when the </w:t>
      </w:r>
      <w:r>
        <w:rPr>
          <w:sz w:val="24"/>
          <w:szCs w:val="24"/>
        </w:rPr>
        <w:t>Headteacher and school</w:t>
      </w:r>
      <w:r w:rsidRPr="00C42B26">
        <w:rPr>
          <w:sz w:val="24"/>
          <w:szCs w:val="24"/>
        </w:rPr>
        <w:t xml:space="preserve"> had already offered and implemented a range of support and</w:t>
      </w:r>
      <w:r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management strategies. These strategies are outlined in the Behaviour Policy.</w:t>
      </w:r>
      <w:r w:rsidRPr="00C42B26">
        <w:t xml:space="preserve"> 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</w:p>
    <w:p w:rsidR="00C42B26" w:rsidRPr="00C42B26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C42B26">
        <w:rPr>
          <w:b/>
          <w:sz w:val="24"/>
          <w:szCs w:val="24"/>
          <w:u w:val="single"/>
        </w:rPr>
        <w:t>Single ‘one-off’ Incident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 xml:space="preserve">Temporary fixed-term exclusion may be used in response to a serious breach of </w:t>
      </w:r>
      <w:r>
        <w:rPr>
          <w:sz w:val="24"/>
          <w:szCs w:val="24"/>
        </w:rPr>
        <w:t>school</w:t>
      </w:r>
      <w:r w:rsidRPr="00C42B26">
        <w:rPr>
          <w:sz w:val="24"/>
          <w:szCs w:val="24"/>
        </w:rPr>
        <w:t xml:space="preserve"> rules and policies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or a disciplinary offence. In such cases the Headteacher will investigate the incident thoroughly and consider all evidence to support the allegation, taking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account of the policies. The pupil will be encouraged to give his/her version of events and the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 xml:space="preserve">Headteacher will check whether the incident may have been </w:t>
      </w:r>
      <w:r w:rsidRPr="00C42B26">
        <w:rPr>
          <w:sz w:val="24"/>
          <w:szCs w:val="24"/>
        </w:rPr>
        <w:lastRenderedPageBreak/>
        <w:t>provoked, for example by bullying or racial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 xml:space="preserve">harassment. If necessary the Headteacher will consult the Chair of </w:t>
      </w:r>
      <w:r w:rsidR="009D702F">
        <w:rPr>
          <w:sz w:val="24"/>
          <w:szCs w:val="24"/>
        </w:rPr>
        <w:t xml:space="preserve">Governors </w:t>
      </w:r>
      <w:r w:rsidRPr="00C42B26">
        <w:rPr>
          <w:sz w:val="24"/>
          <w:szCs w:val="24"/>
        </w:rPr>
        <w:t>and other Senior Leaders.</w:t>
      </w:r>
    </w:p>
    <w:p w:rsidR="008C6362" w:rsidRDefault="008C6362" w:rsidP="00C42B26">
      <w:pPr>
        <w:spacing w:after="0" w:line="240" w:lineRule="auto"/>
        <w:rPr>
          <w:sz w:val="24"/>
          <w:szCs w:val="24"/>
        </w:rPr>
      </w:pPr>
    </w:p>
    <w:p w:rsidR="008C6362" w:rsidRDefault="008C6362" w:rsidP="00C42B26">
      <w:pPr>
        <w:spacing w:after="0" w:line="240" w:lineRule="auto"/>
        <w:rPr>
          <w:sz w:val="24"/>
          <w:szCs w:val="24"/>
        </w:rPr>
      </w:pPr>
      <w:r w:rsidRPr="008C6362">
        <w:rPr>
          <w:sz w:val="24"/>
          <w:szCs w:val="24"/>
          <w:highlight w:val="yellow"/>
        </w:rPr>
        <w:t>If 15 days of exclusions are accumulated within an academic year a meeting is called with governors to review the exclusion.</w:t>
      </w:r>
    </w:p>
    <w:p w:rsidR="009D702F" w:rsidRPr="00C42B26" w:rsidRDefault="009D702F" w:rsidP="00C42B26">
      <w:pPr>
        <w:spacing w:after="0" w:line="240" w:lineRule="auto"/>
        <w:rPr>
          <w:sz w:val="24"/>
          <w:szCs w:val="24"/>
        </w:rPr>
      </w:pPr>
    </w:p>
    <w:p w:rsidR="00C42B26" w:rsidRPr="009D702F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Permanent Exclusion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A permanent exclusion is a very serious decision and the Headteacher will consult with the Deputy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Headteacher and Chair of the local Governing Body before enforcing it.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As with a temporary fixed-term exclusion, it will follow a range of strategies and be seen as a last resort, or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 xml:space="preserve">it will be in response to a very serious breach of </w:t>
      </w:r>
      <w:r w:rsidR="009D702F">
        <w:rPr>
          <w:sz w:val="24"/>
          <w:szCs w:val="24"/>
        </w:rPr>
        <w:t>school</w:t>
      </w:r>
      <w:r w:rsidRPr="00C42B26">
        <w:rPr>
          <w:sz w:val="24"/>
          <w:szCs w:val="24"/>
        </w:rPr>
        <w:t xml:space="preserve"> rules and policies or a disciplinary offence such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as: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Serious actual or threatened violence against another pupil or a member of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staff;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Failure to follow school rules - defiance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Possession or use of an illegal drug on school premises;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Persistent bullying;</w:t>
      </w:r>
    </w:p>
    <w:p w:rsidR="009D702F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Persistent racial harassment;</w:t>
      </w:r>
    </w:p>
    <w:p w:rsidR="009D702F" w:rsidRPr="00C42B26" w:rsidRDefault="009D702F" w:rsidP="00C42B26">
      <w:pPr>
        <w:spacing w:after="0" w:line="240" w:lineRule="auto"/>
        <w:rPr>
          <w:sz w:val="24"/>
          <w:szCs w:val="24"/>
        </w:rPr>
      </w:pPr>
    </w:p>
    <w:p w:rsidR="00C42B26" w:rsidRPr="009D702F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The decision to exclude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If the Headteacher decides to exclude a pupil he/she will: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Ensure that there is sufficient recorded evidence to support the decision;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Explain the decision to the pupil;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Contact the parents/carers, explain the decision and ask that the child be collected;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Send a letter to the parents/carers confirming the reasons for the exclusion, whether it is a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permanent or temporary exclusion;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The length of the exclusion and any terms or conditions agreed for the pupil’s return;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In cases of more than a day’s exclusion, ensure that appropriate work is set and that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arrangements are in place for it to be marked;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Plan how to address the pupil’s needs and integration back into their class on his/her return;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Plan a reintegration meeting with parents/carers and pupil on his/her return.</w:t>
      </w:r>
    </w:p>
    <w:p w:rsidR="008D4417" w:rsidRDefault="008D4417" w:rsidP="00C42B26">
      <w:pPr>
        <w:spacing w:after="0" w:line="240" w:lineRule="auto"/>
        <w:rPr>
          <w:sz w:val="24"/>
          <w:szCs w:val="24"/>
        </w:rPr>
      </w:pPr>
    </w:p>
    <w:p w:rsidR="008D4417" w:rsidRDefault="008D4417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8D4417">
        <w:rPr>
          <w:b/>
          <w:sz w:val="24"/>
          <w:szCs w:val="24"/>
          <w:u w:val="single"/>
        </w:rPr>
        <w:t>Pupils with SEN / EHCP</w:t>
      </w:r>
    </w:p>
    <w:p w:rsidR="008D4417" w:rsidRPr="008D4417" w:rsidRDefault="008D4417" w:rsidP="00C42B26">
      <w:pPr>
        <w:spacing w:after="0" w:line="240" w:lineRule="auto"/>
        <w:rPr>
          <w:b/>
          <w:sz w:val="24"/>
          <w:szCs w:val="24"/>
          <w:u w:val="single"/>
        </w:rPr>
      </w:pPr>
    </w:p>
    <w:p w:rsidR="009D702F" w:rsidRDefault="009D702F" w:rsidP="00C42B26">
      <w:pPr>
        <w:spacing w:after="0" w:line="240" w:lineRule="auto"/>
        <w:rPr>
          <w:sz w:val="24"/>
          <w:szCs w:val="24"/>
        </w:rPr>
      </w:pPr>
    </w:p>
    <w:p w:rsidR="00C42B26" w:rsidRPr="009D702F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In the absence of the Headteacher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If the Headteacher is absent from school then wherever possible they should still be contacted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in the event of a child committing an excludable offence. If the Headteacher can be reached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>then they should make the decision to exclude verbally.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• When the Headteacher is absent and unreachable, the Deputy Headteacher is acting as</w:t>
      </w:r>
      <w:r w:rsidR="009D702F">
        <w:rPr>
          <w:sz w:val="24"/>
          <w:szCs w:val="24"/>
        </w:rPr>
        <w:t xml:space="preserve"> </w:t>
      </w:r>
      <w:r w:rsidRPr="00C42B26">
        <w:rPr>
          <w:sz w:val="24"/>
          <w:szCs w:val="24"/>
        </w:rPr>
        <w:t xml:space="preserve">Headteacher and as such has the designated power to exclude in this situation. </w:t>
      </w:r>
    </w:p>
    <w:p w:rsidR="009D702F" w:rsidRDefault="009D702F" w:rsidP="00C42B26">
      <w:pPr>
        <w:spacing w:after="0" w:line="240" w:lineRule="auto"/>
        <w:rPr>
          <w:sz w:val="24"/>
          <w:szCs w:val="24"/>
        </w:rPr>
      </w:pPr>
    </w:p>
    <w:p w:rsidR="00C42B26" w:rsidRPr="009D702F" w:rsidRDefault="00C42B26" w:rsidP="00C42B26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Safeguarding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An exclusion will not be enforced if doing so may put the safety of the pupil at risk. In cases where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parents/carers will not comply by, for example, refusing to collect the child, the child’s welfare is the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priority. In this situation, depending on the reason for exclusion, the academy may consider an internal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exclusion until the end of the day, implementing the original exclusion decision from the time the child is</w:t>
      </w:r>
    </w:p>
    <w:p w:rsidR="00C42B26" w:rsidRP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collected from the academy. In more severe circumstances the academy may contact Social Services</w:t>
      </w:r>
    </w:p>
    <w:p w:rsidR="00C42B26" w:rsidRDefault="00C42B26" w:rsidP="00C42B26">
      <w:pPr>
        <w:spacing w:after="0" w:line="240" w:lineRule="auto"/>
        <w:rPr>
          <w:sz w:val="24"/>
          <w:szCs w:val="24"/>
        </w:rPr>
      </w:pPr>
      <w:r w:rsidRPr="00C42B26">
        <w:rPr>
          <w:sz w:val="24"/>
          <w:szCs w:val="24"/>
        </w:rPr>
        <w:t>and/or the Police to safely take the pupil off site.</w:t>
      </w:r>
    </w:p>
    <w:p w:rsidR="009D702F" w:rsidRDefault="009D702F" w:rsidP="00C42B26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Behaviour Outside the School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Pupils’ behaviour outside the </w:t>
      </w:r>
      <w:r>
        <w:rPr>
          <w:sz w:val="24"/>
          <w:szCs w:val="24"/>
        </w:rPr>
        <w:t xml:space="preserve">school on school </w:t>
      </w:r>
      <w:r w:rsidRPr="009D702F">
        <w:rPr>
          <w:sz w:val="24"/>
          <w:szCs w:val="24"/>
        </w:rPr>
        <w:t>business e.g. on trips, at sports fixtures, is subject to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the </w:t>
      </w:r>
      <w:r>
        <w:rPr>
          <w:sz w:val="24"/>
          <w:szCs w:val="24"/>
        </w:rPr>
        <w:t>school</w:t>
      </w:r>
      <w:r w:rsidRPr="009D702F">
        <w:rPr>
          <w:sz w:val="24"/>
          <w:szCs w:val="24"/>
        </w:rPr>
        <w:t>’s behaviour policy. Unacceptable behaviour in such circumstances will be dealt with as if it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had taken place within the </w:t>
      </w:r>
      <w:r>
        <w:rPr>
          <w:sz w:val="24"/>
          <w:szCs w:val="24"/>
        </w:rPr>
        <w:t>school</w:t>
      </w:r>
      <w:r w:rsidRPr="009D702F">
        <w:rPr>
          <w:sz w:val="24"/>
          <w:szCs w:val="24"/>
        </w:rPr>
        <w:t>.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Pupils with Special Educational Needs and Disabled Pupils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The </w:t>
      </w:r>
      <w:r>
        <w:rPr>
          <w:sz w:val="24"/>
          <w:szCs w:val="24"/>
        </w:rPr>
        <w:t>school</w:t>
      </w:r>
      <w:r w:rsidRPr="009D702F">
        <w:rPr>
          <w:sz w:val="24"/>
          <w:szCs w:val="24"/>
        </w:rPr>
        <w:t xml:space="preserve"> must take account of any special educational needs when considering whether or not to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exclude a pupil.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We have a legal duty under the Equality Act 2010 not to discriminate against disabled pupils by excluding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them from the academy for behaviour related to their disability. The Headteacher should ensure that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reasonable steps have been taken by the academy to respond to a pupil’s disability so the pupil is not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treated less favourably for reasons related to the disability.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Marking Attendance Registers following Exclusion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When a pupil is excluded temporarily, he/she should be marked as absent using Code E.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Managed Move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In cases where the Headteacher and parents/carers agree that the progress of the pupil has been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unsatisfactory and the pupil is unwilling or unable to profit from the educational opportunities offered, or if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a parent has treated a member of staff unreasonably the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Headteacher may require the parents/carers to remove the pupil at the end of a term. This is not exclusion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and, in such cases, the Headteacher may assist the parents/carers in placing the pupil in another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school/academy.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 xml:space="preserve">Removal from the </w:t>
      </w:r>
      <w:proofErr w:type="spellStart"/>
      <w:r w:rsidR="008C6362">
        <w:rPr>
          <w:b/>
          <w:sz w:val="24"/>
          <w:szCs w:val="24"/>
          <w:u w:val="single"/>
        </w:rPr>
        <w:t>School</w:t>
      </w:r>
      <w:r w:rsidRPr="009D702F">
        <w:rPr>
          <w:b/>
          <w:sz w:val="24"/>
          <w:szCs w:val="24"/>
          <w:u w:val="single"/>
        </w:rPr>
        <w:t>for</w:t>
      </w:r>
      <w:proofErr w:type="spellEnd"/>
      <w:r w:rsidRPr="009D702F">
        <w:rPr>
          <w:b/>
          <w:sz w:val="24"/>
          <w:szCs w:val="24"/>
          <w:u w:val="single"/>
        </w:rPr>
        <w:t xml:space="preserve"> Other Reasons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The Headteacher may send a pupil home, after consultation with that pupil’s parents/carer and a health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professional as appropriate, if the pupil poses an immediate and serious risk to the health and safety of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other pupils and staff, for example because of a diagnosed illness such as a notifiable disease. This is not an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exclusion and should be for the shortest possible time.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b/>
          <w:sz w:val="24"/>
          <w:szCs w:val="24"/>
          <w:u w:val="single"/>
        </w:rPr>
      </w:pPr>
      <w:r w:rsidRPr="009D702F">
        <w:rPr>
          <w:b/>
          <w:sz w:val="24"/>
          <w:szCs w:val="24"/>
          <w:u w:val="single"/>
        </w:rPr>
        <w:t>Procedure for Appeal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If parents/carers wish to appeal the decision to exclude, the matter will be referred to the </w:t>
      </w:r>
      <w:r>
        <w:rPr>
          <w:sz w:val="24"/>
          <w:szCs w:val="24"/>
        </w:rPr>
        <w:t>Governing Body</w:t>
      </w:r>
    </w:p>
    <w:p w:rsidR="00C42B26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will be handled through </w:t>
      </w:r>
      <w:proofErr w:type="spellStart"/>
      <w:r>
        <w:rPr>
          <w:sz w:val="24"/>
          <w:szCs w:val="24"/>
        </w:rPr>
        <w:t>Pinders</w:t>
      </w:r>
      <w:proofErr w:type="spellEnd"/>
      <w:r>
        <w:rPr>
          <w:sz w:val="24"/>
          <w:szCs w:val="24"/>
        </w:rPr>
        <w:t xml:space="preserve"> Primary School </w:t>
      </w:r>
      <w:r w:rsidRPr="009D702F">
        <w:rPr>
          <w:sz w:val="24"/>
          <w:szCs w:val="24"/>
        </w:rPr>
        <w:t>appeal</w:t>
      </w:r>
      <w:r>
        <w:rPr>
          <w:sz w:val="24"/>
          <w:szCs w:val="24"/>
        </w:rPr>
        <w:t xml:space="preserve"> </w:t>
      </w:r>
      <w:r w:rsidRPr="009D702F">
        <w:rPr>
          <w:sz w:val="24"/>
          <w:szCs w:val="24"/>
        </w:rPr>
        <w:t>procedure.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</w:p>
    <w:p w:rsidR="009D702F" w:rsidRPr="009D702F" w:rsidRDefault="009D702F" w:rsidP="009D702F">
      <w:pPr>
        <w:spacing w:after="0" w:line="240" w:lineRule="auto"/>
        <w:rPr>
          <w:sz w:val="24"/>
          <w:szCs w:val="24"/>
          <w:u w:val="single"/>
        </w:rPr>
      </w:pPr>
      <w:r w:rsidRPr="009D702F">
        <w:rPr>
          <w:sz w:val="24"/>
          <w:szCs w:val="24"/>
          <w:u w:val="single"/>
        </w:rPr>
        <w:t>Appendix 1 – Exclusion Codes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DfE Changes to Reasons for Exclusion Academic Year 2020/2021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The DfE expects schools from the beginning of academic year 2020/21 to </w:t>
      </w:r>
      <w:r w:rsidRPr="009D702F">
        <w:rPr>
          <w:b/>
          <w:sz w:val="24"/>
          <w:szCs w:val="24"/>
          <w:u w:val="single"/>
        </w:rPr>
        <w:t>cease</w:t>
      </w:r>
      <w:r w:rsidRPr="009D702F">
        <w:rPr>
          <w:sz w:val="24"/>
          <w:szCs w:val="24"/>
        </w:rPr>
        <w:t xml:space="preserve"> the use of “</w:t>
      </w:r>
      <w:r w:rsidRPr="009D702F">
        <w:rPr>
          <w:b/>
          <w:i/>
          <w:sz w:val="24"/>
          <w:szCs w:val="24"/>
        </w:rPr>
        <w:t>Other”</w:t>
      </w:r>
      <w:r w:rsidRPr="009D702F">
        <w:rPr>
          <w:sz w:val="24"/>
          <w:szCs w:val="24"/>
        </w:rPr>
        <w:t xml:space="preserve"> as a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reason for an exclusion. Sept 2020 also sees the introduction of 5 new exclusion reasons. The expansion of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 xml:space="preserve">exclusion reasons </w:t>
      </w:r>
      <w:proofErr w:type="gramStart"/>
      <w:r w:rsidRPr="009D702F">
        <w:rPr>
          <w:sz w:val="24"/>
          <w:szCs w:val="24"/>
        </w:rPr>
        <w:t>aims</w:t>
      </w:r>
      <w:proofErr w:type="gramEnd"/>
      <w:r w:rsidRPr="009D702F">
        <w:rPr>
          <w:sz w:val="24"/>
          <w:szCs w:val="24"/>
        </w:rPr>
        <w:t xml:space="preserve"> to give schools more scope for accurately coding the reasons for exclusion as</w:t>
      </w:r>
    </w:p>
    <w:p w:rsidR="009D702F" w:rsidRP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outlined below. From September 2020 the DfE gives schools the opportunity to utilise up to three reasons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  <w:r w:rsidRPr="009D702F">
        <w:rPr>
          <w:sz w:val="24"/>
          <w:szCs w:val="24"/>
        </w:rPr>
        <w:t>for any exclusion. Schools will be able to record a main reason and, if required, a second and third.</w:t>
      </w:r>
    </w:p>
    <w:p w:rsidR="009D702F" w:rsidRDefault="009D702F" w:rsidP="009D702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9D702F" w:rsidTr="009D702F">
        <w:tc>
          <w:tcPr>
            <w:tcW w:w="2689" w:type="dxa"/>
          </w:tcPr>
          <w:p w:rsidR="009D702F" w:rsidRP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New Exclusion</w:t>
            </w:r>
            <w:r>
              <w:rPr>
                <w:sz w:val="24"/>
                <w:szCs w:val="24"/>
              </w:rPr>
              <w:t xml:space="preserve"> </w:t>
            </w:r>
            <w:r w:rsidRPr="009D702F">
              <w:rPr>
                <w:sz w:val="24"/>
                <w:szCs w:val="24"/>
              </w:rPr>
              <w:t>Codes</w:t>
            </w:r>
          </w:p>
          <w:p w:rsidR="009D702F" w:rsidRDefault="009D702F" w:rsidP="009D7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:rsidR="009D702F" w:rsidRP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New Pupil Exclusion Reason</w:t>
            </w:r>
          </w:p>
          <w:p w:rsidR="009D702F" w:rsidRDefault="009D702F" w:rsidP="009D702F">
            <w:pPr>
              <w:jc w:val="center"/>
              <w:rPr>
                <w:sz w:val="24"/>
                <w:szCs w:val="24"/>
              </w:rPr>
            </w:pPr>
          </w:p>
        </w:tc>
      </w:tr>
      <w:tr w:rsidR="009D702F" w:rsidTr="009D702F">
        <w:tc>
          <w:tcPr>
            <w:tcW w:w="2689" w:type="dxa"/>
          </w:tcPr>
          <w:p w:rsid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OW</w:t>
            </w:r>
          </w:p>
        </w:tc>
        <w:tc>
          <w:tcPr>
            <w:tcW w:w="7767" w:type="dxa"/>
          </w:tcPr>
          <w:p w:rsidR="009D702F" w:rsidRDefault="009D702F" w:rsidP="009D702F">
            <w:pPr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Use or threat of use of an offensive weapon or prohibited item</w:t>
            </w:r>
          </w:p>
        </w:tc>
      </w:tr>
      <w:tr w:rsidR="009D702F" w:rsidTr="009D702F">
        <w:tc>
          <w:tcPr>
            <w:tcW w:w="2689" w:type="dxa"/>
          </w:tcPr>
          <w:p w:rsid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LG</w:t>
            </w:r>
          </w:p>
        </w:tc>
        <w:tc>
          <w:tcPr>
            <w:tcW w:w="7767" w:type="dxa"/>
          </w:tcPr>
          <w:p w:rsidR="009D702F" w:rsidRDefault="009D702F" w:rsidP="009D702F">
            <w:pPr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Abuse against sexual orientation and gender identity</w:t>
            </w:r>
          </w:p>
        </w:tc>
      </w:tr>
      <w:tr w:rsidR="009D702F" w:rsidTr="009D702F">
        <w:tc>
          <w:tcPr>
            <w:tcW w:w="2689" w:type="dxa"/>
          </w:tcPr>
          <w:p w:rsid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DS</w:t>
            </w:r>
          </w:p>
        </w:tc>
        <w:tc>
          <w:tcPr>
            <w:tcW w:w="7767" w:type="dxa"/>
          </w:tcPr>
          <w:p w:rsidR="009D702F" w:rsidRDefault="009D702F" w:rsidP="009D702F">
            <w:pPr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Abuse relating to disability</w:t>
            </w:r>
          </w:p>
        </w:tc>
      </w:tr>
      <w:tr w:rsidR="009D702F" w:rsidTr="00B86726">
        <w:trPr>
          <w:trHeight w:val="302"/>
        </w:trPr>
        <w:tc>
          <w:tcPr>
            <w:tcW w:w="2689" w:type="dxa"/>
          </w:tcPr>
          <w:p w:rsid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MT</w:t>
            </w:r>
          </w:p>
        </w:tc>
        <w:tc>
          <w:tcPr>
            <w:tcW w:w="7767" w:type="dxa"/>
          </w:tcPr>
          <w:p w:rsidR="009D702F" w:rsidRDefault="009D702F" w:rsidP="009D702F">
            <w:pPr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Inappropriate use of social media or online technology</w:t>
            </w:r>
          </w:p>
        </w:tc>
      </w:tr>
      <w:tr w:rsidR="009D702F" w:rsidTr="009D702F">
        <w:tc>
          <w:tcPr>
            <w:tcW w:w="2689" w:type="dxa"/>
          </w:tcPr>
          <w:p w:rsidR="009D702F" w:rsidRPr="009D702F" w:rsidRDefault="009D702F" w:rsidP="009D702F">
            <w:pPr>
              <w:jc w:val="center"/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PH</w:t>
            </w:r>
          </w:p>
        </w:tc>
        <w:tc>
          <w:tcPr>
            <w:tcW w:w="7767" w:type="dxa"/>
          </w:tcPr>
          <w:p w:rsidR="009D702F" w:rsidRPr="009D702F" w:rsidRDefault="009D702F" w:rsidP="009D702F">
            <w:pPr>
              <w:rPr>
                <w:sz w:val="24"/>
                <w:szCs w:val="24"/>
              </w:rPr>
            </w:pPr>
            <w:r w:rsidRPr="009D702F">
              <w:rPr>
                <w:sz w:val="24"/>
                <w:szCs w:val="24"/>
              </w:rPr>
              <w:t>Wilful and repeated transgression of protective measures in place to protect public health</w:t>
            </w:r>
          </w:p>
        </w:tc>
      </w:tr>
    </w:tbl>
    <w:p w:rsidR="009D702F" w:rsidRDefault="009D702F" w:rsidP="009D702F">
      <w:pPr>
        <w:spacing w:after="0" w:line="240" w:lineRule="auto"/>
        <w:rPr>
          <w:sz w:val="24"/>
          <w:szCs w:val="24"/>
        </w:rPr>
      </w:pPr>
    </w:p>
    <w:p w:rsidR="00B86726" w:rsidRPr="00C42B26" w:rsidRDefault="00B86726" w:rsidP="00C42B26">
      <w:pPr>
        <w:spacing w:after="0" w:line="240" w:lineRule="auto"/>
        <w:rPr>
          <w:sz w:val="24"/>
          <w:szCs w:val="24"/>
        </w:rPr>
      </w:pPr>
    </w:p>
    <w:sectPr w:rsidR="00B86726" w:rsidRPr="00C42B26" w:rsidSect="00C42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280C"/>
    <w:multiLevelType w:val="hybridMultilevel"/>
    <w:tmpl w:val="15C2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26"/>
    <w:rsid w:val="0028780C"/>
    <w:rsid w:val="00301B94"/>
    <w:rsid w:val="003E7E37"/>
    <w:rsid w:val="008C6362"/>
    <w:rsid w:val="008D4417"/>
    <w:rsid w:val="009D702F"/>
    <w:rsid w:val="00B86726"/>
    <w:rsid w:val="00C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8224"/>
  <w15:chartTrackingRefBased/>
  <w15:docId w15:val="{CB7FCC71-3019-4615-A6A2-0B094E2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E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BEDFORD</dc:creator>
  <cp:keywords/>
  <dc:description/>
  <cp:lastModifiedBy>Head Teacher</cp:lastModifiedBy>
  <cp:revision>3</cp:revision>
  <dcterms:created xsi:type="dcterms:W3CDTF">2021-10-06T19:15:00Z</dcterms:created>
  <dcterms:modified xsi:type="dcterms:W3CDTF">2021-12-10T11:25:00Z</dcterms:modified>
</cp:coreProperties>
</file>